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3938F" w14:textId="2487C8FB" w:rsidR="00F41C2B" w:rsidRPr="00021543" w:rsidRDefault="00F41C2B" w:rsidP="00F41C2B">
      <w:pPr>
        <w:widowControl w:val="0"/>
        <w:tabs>
          <w:tab w:val="left" w:pos="0"/>
        </w:tabs>
        <w:suppressAutoHyphens/>
        <w:jc w:val="center"/>
        <w:outlineLvl w:val="0"/>
        <w:rPr>
          <w:rFonts w:eastAsia="Arial"/>
          <w:b/>
          <w:sz w:val="32"/>
          <w:szCs w:val="32"/>
          <w:lang w:eastAsia="ar-SA"/>
        </w:rPr>
      </w:pPr>
      <w:r w:rsidRPr="00021543">
        <w:rPr>
          <w:rFonts w:eastAsia="Arial"/>
          <w:b/>
          <w:sz w:val="32"/>
          <w:szCs w:val="32"/>
          <w:lang w:eastAsia="ar-SA"/>
        </w:rPr>
        <w:t>некоммерческая организация</w:t>
      </w:r>
    </w:p>
    <w:p w14:paraId="60708E91" w14:textId="6016590D" w:rsidR="00F41C2B" w:rsidRPr="007B5966" w:rsidRDefault="00DE4D84" w:rsidP="00F41C2B">
      <w:pPr>
        <w:widowControl w:val="0"/>
        <w:tabs>
          <w:tab w:val="left" w:pos="0"/>
        </w:tabs>
        <w:suppressAutoHyphens/>
        <w:jc w:val="center"/>
        <w:rPr>
          <w:rFonts w:eastAsia="Arial"/>
          <w:b/>
          <w:sz w:val="36"/>
          <w:szCs w:val="3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Arial"/>
          <w:b/>
          <w:sz w:val="36"/>
          <w:szCs w:val="3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Фонд развития промышленности Томской области </w:t>
      </w:r>
    </w:p>
    <w:p w14:paraId="591A44AA" w14:textId="58B917D8" w:rsidR="00F41C2B" w:rsidRPr="00021543" w:rsidRDefault="00F41C2B" w:rsidP="00F41C2B">
      <w:pPr>
        <w:widowControl w:val="0"/>
        <w:pBdr>
          <w:bottom w:val="double" w:sz="18" w:space="1" w:color="000000"/>
        </w:pBdr>
        <w:tabs>
          <w:tab w:val="left" w:pos="0"/>
        </w:tabs>
        <w:suppressAutoHyphens/>
        <w:spacing w:line="300" w:lineRule="auto"/>
        <w:jc w:val="center"/>
        <w:outlineLvl w:val="0"/>
        <w:rPr>
          <w:rFonts w:ascii="Garamond" w:eastAsia="Arial" w:hAnsi="Garamond"/>
          <w:b/>
          <w:sz w:val="18"/>
          <w:szCs w:val="18"/>
          <w:lang w:eastAsia="ar-SA"/>
        </w:rPr>
      </w:pPr>
      <w:r w:rsidRPr="007B5966">
        <w:rPr>
          <w:rFonts w:ascii="Garamond" w:eastAsia="Arial" w:hAnsi="Garamond"/>
          <w:b/>
          <w:sz w:val="18"/>
          <w:szCs w:val="18"/>
          <w:lang w:eastAsia="ar-SA"/>
        </w:rPr>
        <w:t>6340</w:t>
      </w:r>
      <w:r w:rsidR="00021543" w:rsidRPr="00021543">
        <w:rPr>
          <w:rFonts w:ascii="Garamond" w:eastAsia="Arial" w:hAnsi="Garamond"/>
          <w:b/>
          <w:sz w:val="18"/>
          <w:szCs w:val="18"/>
          <w:lang w:eastAsia="ar-SA"/>
        </w:rPr>
        <w:t>21</w:t>
      </w:r>
      <w:r w:rsidRPr="007B5966">
        <w:rPr>
          <w:rFonts w:ascii="Garamond" w:eastAsia="Arial" w:hAnsi="Garamond"/>
          <w:b/>
          <w:sz w:val="18"/>
          <w:szCs w:val="18"/>
          <w:lang w:eastAsia="ar-SA"/>
        </w:rPr>
        <w:t xml:space="preserve">, Россия, Томская обл., г.Томск, </w:t>
      </w:r>
      <w:r w:rsidR="00021543">
        <w:rPr>
          <w:rFonts w:ascii="Garamond" w:eastAsia="Arial" w:hAnsi="Garamond"/>
          <w:b/>
          <w:sz w:val="18"/>
          <w:szCs w:val="18"/>
          <w:lang w:eastAsia="ar-SA"/>
        </w:rPr>
        <w:t>ул</w:t>
      </w:r>
      <w:r w:rsidRPr="007B5966">
        <w:rPr>
          <w:rFonts w:ascii="Garamond" w:eastAsia="Arial" w:hAnsi="Garamond"/>
          <w:b/>
          <w:sz w:val="18"/>
          <w:szCs w:val="18"/>
          <w:lang w:eastAsia="ar-SA"/>
        </w:rPr>
        <w:t>.</w:t>
      </w:r>
      <w:r w:rsidR="00021543">
        <w:rPr>
          <w:rFonts w:ascii="Garamond" w:eastAsia="Arial" w:hAnsi="Garamond"/>
          <w:b/>
          <w:sz w:val="18"/>
          <w:szCs w:val="18"/>
          <w:lang w:eastAsia="ar-SA"/>
        </w:rPr>
        <w:t>Енисейская</w:t>
      </w:r>
      <w:r w:rsidRPr="007B5966">
        <w:rPr>
          <w:rFonts w:ascii="Garamond" w:eastAsia="Arial" w:hAnsi="Garamond"/>
          <w:b/>
          <w:sz w:val="18"/>
          <w:szCs w:val="18"/>
          <w:lang w:eastAsia="ar-SA"/>
        </w:rPr>
        <w:t xml:space="preserve">, </w:t>
      </w:r>
      <w:r w:rsidR="00021543">
        <w:rPr>
          <w:rFonts w:ascii="Garamond" w:eastAsia="Arial" w:hAnsi="Garamond"/>
          <w:b/>
          <w:sz w:val="18"/>
          <w:szCs w:val="18"/>
          <w:lang w:eastAsia="ar-SA"/>
        </w:rPr>
        <w:t>37</w:t>
      </w:r>
      <w:r w:rsidR="00021543" w:rsidRPr="00021543">
        <w:rPr>
          <w:rFonts w:ascii="Garamond" w:eastAsia="Arial" w:hAnsi="Garamond"/>
          <w:b/>
          <w:sz w:val="18"/>
          <w:szCs w:val="18"/>
          <w:lang w:eastAsia="ar-SA"/>
        </w:rPr>
        <w:t xml:space="preserve"> </w:t>
      </w:r>
      <w:r w:rsidR="00021543">
        <w:rPr>
          <w:rFonts w:ascii="Garamond" w:eastAsia="Arial" w:hAnsi="Garamond"/>
          <w:b/>
          <w:sz w:val="18"/>
          <w:szCs w:val="18"/>
          <w:lang w:eastAsia="ar-SA"/>
        </w:rPr>
        <w:t>оф 306</w:t>
      </w:r>
      <w:r w:rsidRPr="007B5966">
        <w:rPr>
          <w:rFonts w:ascii="Garamond" w:eastAsia="Arial" w:hAnsi="Garamond"/>
          <w:b/>
          <w:sz w:val="18"/>
          <w:szCs w:val="18"/>
          <w:lang w:eastAsia="ar-SA"/>
        </w:rPr>
        <w:t xml:space="preserve"> ИНН 701</w:t>
      </w:r>
      <w:r w:rsidR="00021543" w:rsidRPr="00021543">
        <w:rPr>
          <w:rFonts w:ascii="Garamond" w:eastAsia="Arial" w:hAnsi="Garamond"/>
          <w:b/>
          <w:sz w:val="18"/>
          <w:szCs w:val="18"/>
          <w:lang w:eastAsia="ar-SA"/>
        </w:rPr>
        <w:t>74990116</w:t>
      </w:r>
      <w:r w:rsidRPr="007B5966">
        <w:rPr>
          <w:rFonts w:ascii="Garamond" w:eastAsia="Arial" w:hAnsi="Garamond"/>
          <w:b/>
          <w:sz w:val="18"/>
          <w:szCs w:val="18"/>
          <w:lang w:eastAsia="ar-SA"/>
        </w:rPr>
        <w:t xml:space="preserve">, КПП 701701001. </w:t>
      </w:r>
      <w:r w:rsidRPr="007B5966">
        <w:rPr>
          <w:rFonts w:ascii="Wingdings" w:eastAsia="Arial" w:hAnsi="Wingdings"/>
          <w:b/>
          <w:sz w:val="18"/>
          <w:szCs w:val="18"/>
          <w:lang w:eastAsia="ar-SA"/>
        </w:rPr>
        <w:t></w:t>
      </w:r>
      <w:r w:rsidRPr="007B5966">
        <w:rPr>
          <w:rFonts w:ascii="Garamond" w:eastAsia="Arial" w:hAnsi="Garamond"/>
          <w:b/>
          <w:sz w:val="18"/>
          <w:szCs w:val="18"/>
          <w:lang w:eastAsia="ar-SA"/>
        </w:rPr>
        <w:t xml:space="preserve"> (3822) </w:t>
      </w:r>
      <w:r w:rsidR="00021543" w:rsidRPr="00021543">
        <w:rPr>
          <w:rFonts w:ascii="Garamond" w:eastAsia="Arial" w:hAnsi="Garamond"/>
          <w:b/>
          <w:sz w:val="18"/>
          <w:szCs w:val="18"/>
          <w:lang w:eastAsia="ar-SA"/>
        </w:rPr>
        <w:t>98-40-41</w:t>
      </w:r>
    </w:p>
    <w:p w14:paraId="5FC90E7D" w14:textId="77777777" w:rsidR="00F41C2B" w:rsidRPr="007B5966" w:rsidRDefault="00F41C2B" w:rsidP="00F41C2B">
      <w:pPr>
        <w:jc w:val="center"/>
      </w:pPr>
    </w:p>
    <w:p w14:paraId="2B5BC27C" w14:textId="7E2FB282" w:rsidR="0033359E" w:rsidRDefault="001A4B05" w:rsidP="00F14C21">
      <w:pPr>
        <w:pStyle w:val="2"/>
        <w:tabs>
          <w:tab w:val="left" w:pos="4500"/>
          <w:tab w:val="left" w:pos="6660"/>
        </w:tabs>
        <w:spacing w:line="360" w:lineRule="auto"/>
        <w:ind w:left="0"/>
        <w:rPr>
          <w:szCs w:val="24"/>
        </w:rPr>
      </w:pPr>
      <w:r w:rsidRPr="007B5966">
        <w:rPr>
          <w:szCs w:val="24"/>
        </w:rPr>
        <w:tab/>
      </w:r>
    </w:p>
    <w:p w14:paraId="7D05039F" w14:textId="77777777" w:rsidR="002A7B6A" w:rsidRDefault="002A7B6A" w:rsidP="00F14C21">
      <w:pPr>
        <w:pStyle w:val="2"/>
        <w:tabs>
          <w:tab w:val="left" w:pos="4500"/>
          <w:tab w:val="left" w:pos="6660"/>
        </w:tabs>
        <w:spacing w:line="360" w:lineRule="auto"/>
        <w:ind w:left="0"/>
        <w:rPr>
          <w:szCs w:val="24"/>
        </w:rPr>
      </w:pPr>
    </w:p>
    <w:p w14:paraId="09F0A18D" w14:textId="48D1A1B4" w:rsidR="002A7B6A" w:rsidRPr="0069389A" w:rsidRDefault="002A7B6A" w:rsidP="00143B38">
      <w:pPr>
        <w:pStyle w:val="a5"/>
        <w:jc w:val="both"/>
        <w:rPr>
          <w:szCs w:val="24"/>
        </w:rPr>
      </w:pPr>
      <w:r w:rsidRPr="0069389A">
        <w:rPr>
          <w:b/>
          <w:szCs w:val="24"/>
        </w:rPr>
        <w:t xml:space="preserve">Программа: </w:t>
      </w:r>
      <w:r w:rsidRPr="0069389A">
        <w:rPr>
          <w:szCs w:val="24"/>
        </w:rPr>
        <w:t>возмещение субъектам деятельности в сфере промышленности части затрат по уплате процентов по кредитам либо траншам в рамках кредитных линий, полученным в российских кредитных организациях в 2022 году</w:t>
      </w:r>
      <w:r w:rsidR="007F39A2" w:rsidRPr="0069389A">
        <w:rPr>
          <w:szCs w:val="24"/>
        </w:rPr>
        <w:t>.</w:t>
      </w:r>
    </w:p>
    <w:p w14:paraId="6F724B54" w14:textId="77777777" w:rsidR="002A7B6A" w:rsidRPr="0069389A" w:rsidRDefault="002A7B6A" w:rsidP="00143B38">
      <w:pPr>
        <w:pStyle w:val="a5"/>
        <w:jc w:val="both"/>
        <w:rPr>
          <w:szCs w:val="24"/>
        </w:rPr>
      </w:pPr>
    </w:p>
    <w:p w14:paraId="0EC0BCB2" w14:textId="0D58C8FA" w:rsidR="002A7B6A" w:rsidRPr="0069389A" w:rsidRDefault="002A7B6A" w:rsidP="00143B38">
      <w:pPr>
        <w:pStyle w:val="a5"/>
        <w:jc w:val="both"/>
        <w:rPr>
          <w:szCs w:val="24"/>
        </w:rPr>
      </w:pPr>
      <w:r w:rsidRPr="0069389A">
        <w:rPr>
          <w:b/>
          <w:szCs w:val="24"/>
        </w:rPr>
        <w:t xml:space="preserve">Условия Программы: </w:t>
      </w:r>
      <w:r w:rsidRPr="0069389A">
        <w:rPr>
          <w:szCs w:val="24"/>
        </w:rPr>
        <w:t>В</w:t>
      </w:r>
      <w:r w:rsidR="0069389A">
        <w:rPr>
          <w:szCs w:val="24"/>
        </w:rPr>
        <w:t xml:space="preserve"> </w:t>
      </w:r>
      <w:r w:rsidRPr="0069389A">
        <w:rPr>
          <w:szCs w:val="24"/>
        </w:rPr>
        <w:t xml:space="preserve">рамках данного мероприятия предусмотрено возмещение субъектам деятельности в сфере промышленности, включенным в Перечень системообразующих организаций Томской области части затрат по уплате процентов по кредитам либо траншам в рамках кредитных линий, полученным в российских кредитных организациях в 2022 году. </w:t>
      </w:r>
      <w:r w:rsidR="004A1B2C" w:rsidRPr="0069389A">
        <w:rPr>
          <w:szCs w:val="24"/>
          <w:shd w:val="clear" w:color="auto" w:fill="FFFFFF"/>
        </w:rPr>
        <w:t>Возмещению подлежит разница между ставкой, установленной в кредитном договоре и 9% годовых ( но не более 10%) за 1-2 квартал 2022г., и 6% годовых ( но не более 10%) за 3 квартал</w:t>
      </w:r>
      <w:r w:rsidR="004A1B2C" w:rsidRPr="0069389A">
        <w:rPr>
          <w:szCs w:val="24"/>
          <w:shd w:val="clear" w:color="auto" w:fill="FFFFFF"/>
        </w:rPr>
        <w:t xml:space="preserve"> и октябрь </w:t>
      </w:r>
      <w:r w:rsidR="004A1B2C" w:rsidRPr="0069389A">
        <w:rPr>
          <w:szCs w:val="24"/>
          <w:shd w:val="clear" w:color="auto" w:fill="FFFFFF"/>
        </w:rPr>
        <w:t xml:space="preserve">2022г. </w:t>
      </w:r>
      <w:r w:rsidRPr="0069389A">
        <w:rPr>
          <w:szCs w:val="24"/>
        </w:rPr>
        <w:t xml:space="preserve">Возмещению подлежат проценты, начисленные и оплаченные за период с </w:t>
      </w:r>
      <w:r w:rsidRPr="0069389A">
        <w:rPr>
          <w:b/>
          <w:szCs w:val="24"/>
        </w:rPr>
        <w:t>01 января 2022 года по 3</w:t>
      </w:r>
      <w:r w:rsidR="004A1B2C" w:rsidRPr="0069389A">
        <w:rPr>
          <w:b/>
          <w:szCs w:val="24"/>
        </w:rPr>
        <w:t>1</w:t>
      </w:r>
      <w:r w:rsidRPr="0069389A">
        <w:rPr>
          <w:b/>
          <w:szCs w:val="24"/>
        </w:rPr>
        <w:t xml:space="preserve"> </w:t>
      </w:r>
      <w:r w:rsidR="004A1B2C" w:rsidRPr="0069389A">
        <w:rPr>
          <w:b/>
          <w:szCs w:val="24"/>
        </w:rPr>
        <w:t>октября</w:t>
      </w:r>
      <w:r w:rsidRPr="0069389A">
        <w:rPr>
          <w:b/>
          <w:szCs w:val="24"/>
        </w:rPr>
        <w:t xml:space="preserve"> 2022 года</w:t>
      </w:r>
      <w:r w:rsidRPr="0069389A">
        <w:rPr>
          <w:szCs w:val="24"/>
        </w:rPr>
        <w:t xml:space="preserve"> на сумму кредита, предоставленного заемщику не ранее 01 января 2022 года. Максимальная сумма к возмещению</w:t>
      </w:r>
      <w:r w:rsidR="00694685" w:rsidRPr="0069389A">
        <w:rPr>
          <w:szCs w:val="24"/>
        </w:rPr>
        <w:t xml:space="preserve"> одному Заявителю (либо группе связанных лиц)</w:t>
      </w:r>
      <w:r w:rsidRPr="0069389A">
        <w:rPr>
          <w:szCs w:val="24"/>
        </w:rPr>
        <w:t xml:space="preserve"> не может превышать </w:t>
      </w:r>
      <w:r w:rsidRPr="0069389A">
        <w:rPr>
          <w:b/>
          <w:szCs w:val="24"/>
        </w:rPr>
        <w:t>5 млн. руб.</w:t>
      </w:r>
      <w:r w:rsidR="00694685" w:rsidRPr="0069389A">
        <w:rPr>
          <w:b/>
          <w:szCs w:val="24"/>
        </w:rPr>
        <w:t xml:space="preserve"> </w:t>
      </w:r>
    </w:p>
    <w:p w14:paraId="1313B0CA" w14:textId="77777777" w:rsidR="002A7B6A" w:rsidRPr="0069389A" w:rsidRDefault="002A7B6A" w:rsidP="002A7B6A">
      <w:pPr>
        <w:pStyle w:val="a5"/>
        <w:rPr>
          <w:szCs w:val="24"/>
        </w:rPr>
      </w:pPr>
    </w:p>
    <w:p w14:paraId="7571EABB" w14:textId="77777777" w:rsidR="002A7B6A" w:rsidRPr="0069389A" w:rsidRDefault="002A7B6A" w:rsidP="002A7B6A">
      <w:pPr>
        <w:pStyle w:val="a5"/>
        <w:rPr>
          <w:szCs w:val="24"/>
        </w:rPr>
      </w:pPr>
      <w:r w:rsidRPr="0069389A">
        <w:rPr>
          <w:b/>
          <w:szCs w:val="24"/>
        </w:rPr>
        <w:t>Требования к Заявителю:</w:t>
      </w:r>
      <w:r w:rsidRPr="0069389A">
        <w:rPr>
          <w:szCs w:val="24"/>
        </w:rPr>
        <w:t xml:space="preserve">   </w:t>
      </w:r>
    </w:p>
    <w:p w14:paraId="2E46EE5D" w14:textId="77777777" w:rsidR="002A7B6A" w:rsidRPr="0069389A" w:rsidRDefault="002A7B6A" w:rsidP="00143B38">
      <w:pPr>
        <w:pStyle w:val="a5"/>
        <w:jc w:val="both"/>
        <w:rPr>
          <w:szCs w:val="24"/>
        </w:rPr>
      </w:pPr>
      <w:r w:rsidRPr="0069389A">
        <w:rPr>
          <w:szCs w:val="24"/>
        </w:rPr>
        <w:t xml:space="preserve"> - относиться к субъектам деятельности в сфере промышленности, включенным в Перечень системообразующих организаций Томской области, основные виды деятельности которых по состоянию на 01.03.2022 относятся к ОКВЭД: </w:t>
      </w:r>
    </w:p>
    <w:p w14:paraId="723324F2" w14:textId="77777777" w:rsidR="002A7B6A" w:rsidRPr="0069389A" w:rsidRDefault="002A7B6A" w:rsidP="00143B38">
      <w:pPr>
        <w:pStyle w:val="a5"/>
        <w:ind w:left="709"/>
        <w:jc w:val="both"/>
        <w:rPr>
          <w:szCs w:val="24"/>
        </w:rPr>
      </w:pPr>
      <w:r w:rsidRPr="0069389A">
        <w:rPr>
          <w:szCs w:val="24"/>
        </w:rPr>
        <w:t xml:space="preserve">09 Предоставление услуг в области добычи полезных ископаемых, </w:t>
      </w:r>
    </w:p>
    <w:p w14:paraId="2F1D5CD7" w14:textId="77777777" w:rsidR="002A7B6A" w:rsidRPr="0069389A" w:rsidRDefault="002A7B6A" w:rsidP="00143B38">
      <w:pPr>
        <w:pStyle w:val="a5"/>
        <w:ind w:left="709"/>
        <w:jc w:val="both"/>
        <w:rPr>
          <w:szCs w:val="24"/>
        </w:rPr>
      </w:pPr>
      <w:r w:rsidRPr="0069389A">
        <w:rPr>
          <w:szCs w:val="24"/>
        </w:rPr>
        <w:t xml:space="preserve">10 Производство пищевых продуктов, </w:t>
      </w:r>
    </w:p>
    <w:p w14:paraId="147F6093" w14:textId="77777777" w:rsidR="002A7B6A" w:rsidRPr="0069389A" w:rsidRDefault="002A7B6A" w:rsidP="00143B38">
      <w:pPr>
        <w:pStyle w:val="a5"/>
        <w:ind w:left="709"/>
        <w:jc w:val="both"/>
        <w:rPr>
          <w:szCs w:val="24"/>
        </w:rPr>
      </w:pPr>
      <w:r w:rsidRPr="0069389A">
        <w:rPr>
          <w:szCs w:val="24"/>
        </w:rPr>
        <w:t xml:space="preserve">11 Производство напитков, </w:t>
      </w:r>
    </w:p>
    <w:p w14:paraId="75A8B147" w14:textId="77777777" w:rsidR="002A7B6A" w:rsidRPr="0069389A" w:rsidRDefault="002A7B6A" w:rsidP="00143B38">
      <w:pPr>
        <w:pStyle w:val="a5"/>
        <w:ind w:left="709"/>
        <w:jc w:val="both"/>
        <w:rPr>
          <w:szCs w:val="24"/>
        </w:rPr>
      </w:pPr>
      <w:r w:rsidRPr="0069389A">
        <w:rPr>
          <w:szCs w:val="24"/>
        </w:rPr>
        <w:t xml:space="preserve">15.20 Производство обуви, </w:t>
      </w:r>
    </w:p>
    <w:p w14:paraId="16C23C0B" w14:textId="77777777" w:rsidR="00143B38" w:rsidRPr="0069389A" w:rsidRDefault="002A7B6A" w:rsidP="00143B38">
      <w:pPr>
        <w:pStyle w:val="a5"/>
        <w:ind w:left="709"/>
        <w:jc w:val="both"/>
        <w:rPr>
          <w:szCs w:val="24"/>
        </w:rPr>
      </w:pPr>
      <w:r w:rsidRPr="0069389A">
        <w:rPr>
          <w:szCs w:val="24"/>
        </w:rPr>
        <w:t xml:space="preserve">18.1 Деятельность полиграфическая и предоставление услуг в этой области, </w:t>
      </w:r>
    </w:p>
    <w:p w14:paraId="63A5F4BD" w14:textId="34863F9F" w:rsidR="002A7B6A" w:rsidRPr="0069389A" w:rsidRDefault="002A7B6A" w:rsidP="00143B38">
      <w:pPr>
        <w:pStyle w:val="a5"/>
        <w:ind w:left="709"/>
        <w:jc w:val="both"/>
        <w:rPr>
          <w:szCs w:val="24"/>
        </w:rPr>
      </w:pPr>
      <w:r w:rsidRPr="0069389A">
        <w:rPr>
          <w:szCs w:val="24"/>
        </w:rPr>
        <w:t xml:space="preserve">20 Производство химических веществ и химических продуктов, </w:t>
      </w:r>
    </w:p>
    <w:p w14:paraId="70AAF1EA" w14:textId="77777777" w:rsidR="002A7B6A" w:rsidRPr="0069389A" w:rsidRDefault="002A7B6A" w:rsidP="00143B38">
      <w:pPr>
        <w:pStyle w:val="a5"/>
        <w:ind w:left="709"/>
        <w:jc w:val="both"/>
        <w:rPr>
          <w:szCs w:val="24"/>
        </w:rPr>
      </w:pPr>
      <w:r w:rsidRPr="0069389A">
        <w:rPr>
          <w:szCs w:val="24"/>
        </w:rPr>
        <w:t xml:space="preserve">21 Производство лекарственных средств и материалов, применяемых в медицинских целях; </w:t>
      </w:r>
    </w:p>
    <w:p w14:paraId="690F967E" w14:textId="77777777" w:rsidR="002A7B6A" w:rsidRPr="0069389A" w:rsidRDefault="002A7B6A" w:rsidP="00143B38">
      <w:pPr>
        <w:pStyle w:val="a5"/>
        <w:ind w:left="709"/>
        <w:jc w:val="both"/>
        <w:rPr>
          <w:szCs w:val="24"/>
        </w:rPr>
      </w:pPr>
      <w:r w:rsidRPr="0069389A">
        <w:rPr>
          <w:szCs w:val="24"/>
        </w:rPr>
        <w:t xml:space="preserve">22 Производство резиновых и пластмассовых изделий, </w:t>
      </w:r>
    </w:p>
    <w:p w14:paraId="24EC4706" w14:textId="5E532951" w:rsidR="008F6F43" w:rsidRPr="0069389A" w:rsidRDefault="008F6F43" w:rsidP="00143B38">
      <w:pPr>
        <w:pStyle w:val="a5"/>
        <w:ind w:left="709"/>
        <w:jc w:val="both"/>
        <w:rPr>
          <w:szCs w:val="24"/>
        </w:rPr>
      </w:pPr>
      <w:r w:rsidRPr="0069389A">
        <w:rPr>
          <w:szCs w:val="24"/>
        </w:rPr>
        <w:t>23 Производство прочей неметаллической минеральной продукции,</w:t>
      </w:r>
    </w:p>
    <w:p w14:paraId="160D3C9D" w14:textId="77777777" w:rsidR="002A7B6A" w:rsidRPr="0069389A" w:rsidRDefault="002A7B6A" w:rsidP="00143B38">
      <w:pPr>
        <w:pStyle w:val="a5"/>
        <w:ind w:left="709"/>
        <w:jc w:val="both"/>
        <w:rPr>
          <w:szCs w:val="24"/>
        </w:rPr>
      </w:pPr>
      <w:r w:rsidRPr="0069389A">
        <w:rPr>
          <w:szCs w:val="24"/>
        </w:rPr>
        <w:t xml:space="preserve">25 Производство готовых металлических изделий, кроме машин и оборудования, </w:t>
      </w:r>
    </w:p>
    <w:p w14:paraId="14DB0889" w14:textId="77777777" w:rsidR="002A7B6A" w:rsidRPr="0069389A" w:rsidRDefault="002A7B6A" w:rsidP="00143B38">
      <w:pPr>
        <w:pStyle w:val="a5"/>
        <w:ind w:left="709"/>
        <w:jc w:val="both"/>
        <w:rPr>
          <w:szCs w:val="24"/>
        </w:rPr>
      </w:pPr>
      <w:r w:rsidRPr="0069389A">
        <w:rPr>
          <w:szCs w:val="24"/>
        </w:rPr>
        <w:t xml:space="preserve">26 Производство компьютеров, электронных и оптических изделий, </w:t>
      </w:r>
    </w:p>
    <w:p w14:paraId="31E33DC5" w14:textId="77777777" w:rsidR="002A7B6A" w:rsidRPr="0069389A" w:rsidRDefault="002A7B6A" w:rsidP="00143B38">
      <w:pPr>
        <w:pStyle w:val="a5"/>
        <w:ind w:left="709"/>
        <w:jc w:val="both"/>
        <w:rPr>
          <w:szCs w:val="24"/>
        </w:rPr>
      </w:pPr>
      <w:r w:rsidRPr="0069389A">
        <w:rPr>
          <w:szCs w:val="24"/>
        </w:rPr>
        <w:t xml:space="preserve">27 Производство электрического оборудования, </w:t>
      </w:r>
    </w:p>
    <w:p w14:paraId="1D43977F" w14:textId="77777777" w:rsidR="00143B38" w:rsidRPr="0069389A" w:rsidRDefault="002A7B6A" w:rsidP="00143B38">
      <w:pPr>
        <w:pStyle w:val="a5"/>
        <w:ind w:left="709"/>
        <w:jc w:val="both"/>
        <w:rPr>
          <w:szCs w:val="24"/>
        </w:rPr>
      </w:pPr>
      <w:r w:rsidRPr="0069389A">
        <w:rPr>
          <w:szCs w:val="24"/>
        </w:rPr>
        <w:t xml:space="preserve">28 Производство машин и оборудования, не включенных в другие группировки, </w:t>
      </w:r>
    </w:p>
    <w:p w14:paraId="75C58BC6" w14:textId="4517A9B8" w:rsidR="002A7B6A" w:rsidRPr="0069389A" w:rsidRDefault="002A7B6A" w:rsidP="00143B38">
      <w:pPr>
        <w:pStyle w:val="a5"/>
        <w:ind w:left="709"/>
        <w:jc w:val="both"/>
        <w:rPr>
          <w:szCs w:val="24"/>
        </w:rPr>
      </w:pPr>
      <w:r w:rsidRPr="0069389A">
        <w:rPr>
          <w:szCs w:val="24"/>
        </w:rPr>
        <w:t xml:space="preserve">30 Производство прочих транспортных средств и оборудования, </w:t>
      </w:r>
    </w:p>
    <w:p w14:paraId="369029A2" w14:textId="77777777" w:rsidR="002A7B6A" w:rsidRPr="0069389A" w:rsidRDefault="002A7B6A" w:rsidP="00143B38">
      <w:pPr>
        <w:pStyle w:val="a5"/>
        <w:ind w:left="709"/>
        <w:jc w:val="both"/>
        <w:rPr>
          <w:szCs w:val="24"/>
        </w:rPr>
      </w:pPr>
      <w:r w:rsidRPr="0069389A">
        <w:rPr>
          <w:szCs w:val="24"/>
        </w:rPr>
        <w:t>35 Обеспечение электрической энергией, газом и паром; кондиционирование воздуха;</w:t>
      </w:r>
    </w:p>
    <w:p w14:paraId="539A0BAF" w14:textId="77777777" w:rsidR="002A7B6A" w:rsidRPr="0069389A" w:rsidRDefault="002A7B6A" w:rsidP="002A7B6A">
      <w:pPr>
        <w:pStyle w:val="a5"/>
        <w:ind w:left="709"/>
        <w:rPr>
          <w:szCs w:val="24"/>
        </w:rPr>
      </w:pPr>
    </w:p>
    <w:p w14:paraId="57BF1EA0" w14:textId="77777777" w:rsidR="002A7B6A" w:rsidRPr="0069389A" w:rsidRDefault="002A7B6A" w:rsidP="00143B38">
      <w:pPr>
        <w:pStyle w:val="a5"/>
        <w:jc w:val="both"/>
        <w:rPr>
          <w:szCs w:val="24"/>
        </w:rPr>
      </w:pPr>
      <w:r w:rsidRPr="0069389A">
        <w:rPr>
          <w:szCs w:val="24"/>
        </w:rPr>
        <w:t xml:space="preserve">    - быть зарегистрированным и осуществляющим экономическую деятельность на территории Томской области;</w:t>
      </w:r>
    </w:p>
    <w:p w14:paraId="5A06C919" w14:textId="77777777" w:rsidR="002A7B6A" w:rsidRPr="0069389A" w:rsidRDefault="002A7B6A" w:rsidP="00143B38">
      <w:pPr>
        <w:pStyle w:val="a5"/>
        <w:jc w:val="both"/>
        <w:rPr>
          <w:szCs w:val="24"/>
        </w:rPr>
      </w:pPr>
      <w:r w:rsidRPr="0069389A">
        <w:rPr>
          <w:szCs w:val="24"/>
        </w:rPr>
        <w:t xml:space="preserve">    - не находиться в процессе реорганизации, ликвидации, банкротства, деятельность которых не приостановлена в порядке, предусмотренном законодательством Российской Федерации;</w:t>
      </w:r>
    </w:p>
    <w:p w14:paraId="515DB047" w14:textId="2222DA04" w:rsidR="002A7B6A" w:rsidRPr="0069389A" w:rsidRDefault="002A7B6A" w:rsidP="00143B38">
      <w:pPr>
        <w:pStyle w:val="a5"/>
        <w:jc w:val="both"/>
        <w:rPr>
          <w:szCs w:val="24"/>
        </w:rPr>
      </w:pPr>
      <w:r w:rsidRPr="0069389A">
        <w:rPr>
          <w:szCs w:val="24"/>
        </w:rPr>
        <w:lastRenderedPageBreak/>
        <w:t xml:space="preserve">    - иметь среднесписочную численность работников не менее 90 процентов фактически сложившейся численности занятых по состоянию на 01.03.2022 и среднемесячную заработную плату не ниже размера минимальной заработной платы в Томской области;</w:t>
      </w:r>
    </w:p>
    <w:p w14:paraId="124078B9" w14:textId="7E6BE6D2" w:rsidR="002A7B6A" w:rsidRPr="0069389A" w:rsidRDefault="002A7B6A" w:rsidP="00143B38">
      <w:pPr>
        <w:pStyle w:val="a5"/>
        <w:jc w:val="both"/>
        <w:rPr>
          <w:szCs w:val="24"/>
        </w:rPr>
      </w:pPr>
      <w:r w:rsidRPr="0069389A">
        <w:rPr>
          <w:szCs w:val="24"/>
        </w:rPr>
        <w:t xml:space="preserve">    - не иметь просроченной задолженности по обслуживанию кредита, в рамках которого осуществляется возмещение затрат по уплате процентов в течение всего периода действия договора</w:t>
      </w:r>
      <w:r w:rsidR="007111A9" w:rsidRPr="0069389A">
        <w:rPr>
          <w:szCs w:val="24"/>
        </w:rPr>
        <w:t>;</w:t>
      </w:r>
    </w:p>
    <w:p w14:paraId="2B81A432" w14:textId="3BF7BD0A" w:rsidR="007111A9" w:rsidRPr="0069389A" w:rsidRDefault="007111A9" w:rsidP="00143B38">
      <w:pPr>
        <w:pStyle w:val="a5"/>
        <w:jc w:val="both"/>
        <w:rPr>
          <w:szCs w:val="24"/>
        </w:rPr>
      </w:pPr>
      <w:r w:rsidRPr="0069389A">
        <w:rPr>
          <w:szCs w:val="24"/>
        </w:rPr>
        <w:t xml:space="preserve"> - не иметь просроченной (неурегулированной) задолженности по налогам, сборам и иным обязательным платежам в бюджетную систему Российской Федерации и государственные внебюджетные фонды </w:t>
      </w:r>
      <w:r w:rsidR="00CA16CD" w:rsidRPr="0069389A">
        <w:rPr>
          <w:szCs w:val="24"/>
        </w:rPr>
        <w:t>на дату подачи заявки;</w:t>
      </w:r>
    </w:p>
    <w:p w14:paraId="38E0BF37" w14:textId="6191E8CF" w:rsidR="00CA16CD" w:rsidRPr="0069389A" w:rsidRDefault="00CA16CD" w:rsidP="00143B38">
      <w:pPr>
        <w:pStyle w:val="a5"/>
        <w:jc w:val="both"/>
        <w:rPr>
          <w:szCs w:val="24"/>
        </w:rPr>
      </w:pPr>
      <w:r w:rsidRPr="0069389A">
        <w:rPr>
          <w:szCs w:val="24"/>
        </w:rPr>
        <w:t xml:space="preserve"> - не осуществлять деятельность, связанную с производством (реализацией) подакцизных товаров</w:t>
      </w:r>
      <w:r w:rsidR="0069389A" w:rsidRPr="0069389A">
        <w:rPr>
          <w:szCs w:val="24"/>
        </w:rPr>
        <w:t>.</w:t>
      </w:r>
    </w:p>
    <w:p w14:paraId="4E641E62" w14:textId="77777777" w:rsidR="002A7B6A" w:rsidRPr="0069389A" w:rsidRDefault="002A7B6A" w:rsidP="002A7B6A">
      <w:pPr>
        <w:pStyle w:val="a5"/>
        <w:rPr>
          <w:szCs w:val="24"/>
        </w:rPr>
      </w:pPr>
    </w:p>
    <w:p w14:paraId="71EE72E2" w14:textId="77777777" w:rsidR="002A7B6A" w:rsidRPr="0069389A" w:rsidRDefault="002A7B6A" w:rsidP="00143B38">
      <w:pPr>
        <w:jc w:val="both"/>
        <w:rPr>
          <w:b/>
        </w:rPr>
      </w:pPr>
      <w:r w:rsidRPr="0069389A">
        <w:rPr>
          <w:b/>
        </w:rPr>
        <w:t>Требования к кредитному договору, в рамках которого осуществляется возмещение затрат:</w:t>
      </w:r>
    </w:p>
    <w:p w14:paraId="63BA4DC6" w14:textId="562A5C6B" w:rsidR="002A7B6A" w:rsidRPr="0069389A" w:rsidRDefault="002A7B6A" w:rsidP="00143B38">
      <w:pPr>
        <w:pStyle w:val="a5"/>
        <w:jc w:val="both"/>
        <w:rPr>
          <w:szCs w:val="24"/>
        </w:rPr>
      </w:pPr>
      <w:r w:rsidRPr="0069389A">
        <w:rPr>
          <w:szCs w:val="24"/>
        </w:rPr>
        <w:t>- процентная ставка по кредиту (с</w:t>
      </w:r>
      <w:r w:rsidR="00CA16CD" w:rsidRPr="0069389A">
        <w:rPr>
          <w:szCs w:val="24"/>
        </w:rPr>
        <w:t xml:space="preserve"> учетом ее изменения): не ниже 9</w:t>
      </w:r>
      <w:r w:rsidRPr="0069389A">
        <w:rPr>
          <w:szCs w:val="24"/>
        </w:rPr>
        <w:t>%</w:t>
      </w:r>
      <w:r w:rsidR="0069389A" w:rsidRPr="0069389A">
        <w:rPr>
          <w:szCs w:val="24"/>
        </w:rPr>
        <w:t xml:space="preserve"> (6%)</w:t>
      </w:r>
      <w:r w:rsidRPr="0069389A">
        <w:rPr>
          <w:szCs w:val="24"/>
        </w:rPr>
        <w:t xml:space="preserve"> годовых;</w:t>
      </w:r>
    </w:p>
    <w:p w14:paraId="7D468090" w14:textId="77777777" w:rsidR="002A7B6A" w:rsidRPr="0069389A" w:rsidRDefault="002A7B6A" w:rsidP="00143B38">
      <w:pPr>
        <w:pStyle w:val="a5"/>
        <w:jc w:val="both"/>
        <w:rPr>
          <w:szCs w:val="24"/>
        </w:rPr>
      </w:pPr>
      <w:r w:rsidRPr="0069389A">
        <w:rPr>
          <w:szCs w:val="24"/>
        </w:rPr>
        <w:t xml:space="preserve">- целевое использование кредита: </w:t>
      </w:r>
    </w:p>
    <w:p w14:paraId="14BF1A23" w14:textId="77777777" w:rsidR="002A7B6A" w:rsidRPr="0069389A" w:rsidRDefault="002A7B6A" w:rsidP="00143B38">
      <w:pPr>
        <w:pStyle w:val="a5"/>
        <w:ind w:left="426"/>
        <w:jc w:val="both"/>
        <w:rPr>
          <w:szCs w:val="24"/>
        </w:rPr>
      </w:pPr>
      <w:r w:rsidRPr="0069389A">
        <w:rPr>
          <w:szCs w:val="24"/>
        </w:rPr>
        <w:t xml:space="preserve"> - на финансирование текущей финансовой деятельности (пополнение оборотных средств, оплата арендных платежей, выплата заработной платы, оплата текущих налоговых платежей, сборов, страховых взносов во внебюджетные фонды, расчеты с поставщиками и подрядчиками, иные расходы, связанные с текущей деятельностью); </w:t>
      </w:r>
    </w:p>
    <w:p w14:paraId="025A7414" w14:textId="77777777" w:rsidR="002A7B6A" w:rsidRPr="0069389A" w:rsidRDefault="002A7B6A" w:rsidP="00143B38">
      <w:pPr>
        <w:pStyle w:val="a5"/>
        <w:ind w:left="426"/>
        <w:jc w:val="both"/>
        <w:rPr>
          <w:szCs w:val="24"/>
        </w:rPr>
      </w:pPr>
      <w:r w:rsidRPr="0069389A">
        <w:rPr>
          <w:szCs w:val="24"/>
        </w:rPr>
        <w:t xml:space="preserve"> - финансирование инвестиционной деятельности (вложения во внеоборотные активы, строительство, капитальный ремонт или реконструкцию нежилых помещений, используемых для производственной деятельности, приобретение нежилых помещений, оборудования и иные расходы, связанные с инвестиционной деятельностью).</w:t>
      </w:r>
    </w:p>
    <w:p w14:paraId="6323E20E" w14:textId="65B8B85F" w:rsidR="002A7B6A" w:rsidRPr="0069389A" w:rsidRDefault="002A7B6A" w:rsidP="00143B38">
      <w:pPr>
        <w:pStyle w:val="a5"/>
        <w:jc w:val="both"/>
        <w:rPr>
          <w:b/>
          <w:szCs w:val="24"/>
        </w:rPr>
      </w:pPr>
      <w:r w:rsidRPr="0069389A">
        <w:rPr>
          <w:b/>
          <w:szCs w:val="24"/>
        </w:rPr>
        <w:t>Не допускается предоставление во</w:t>
      </w:r>
      <w:r w:rsidR="00143B38" w:rsidRPr="0069389A">
        <w:rPr>
          <w:b/>
          <w:szCs w:val="24"/>
        </w:rPr>
        <w:t xml:space="preserve">змещения процентов по кредитам, </w:t>
      </w:r>
      <w:r w:rsidRPr="0069389A">
        <w:rPr>
          <w:b/>
          <w:szCs w:val="24"/>
        </w:rPr>
        <w:t>предоставленным на рефинансирование ранее оформленных кредитов и займов.</w:t>
      </w:r>
    </w:p>
    <w:p w14:paraId="72A4152B" w14:textId="77777777" w:rsidR="002A7B6A" w:rsidRPr="0069389A" w:rsidRDefault="002A7B6A" w:rsidP="002A7B6A">
      <w:pPr>
        <w:pStyle w:val="a5"/>
        <w:rPr>
          <w:b/>
          <w:szCs w:val="24"/>
        </w:rPr>
      </w:pPr>
    </w:p>
    <w:p w14:paraId="21B4A44E" w14:textId="77777777" w:rsidR="002A7B6A" w:rsidRPr="0069389A" w:rsidRDefault="002A7B6A" w:rsidP="002A7B6A">
      <w:pPr>
        <w:pStyle w:val="a5"/>
        <w:rPr>
          <w:b/>
          <w:szCs w:val="24"/>
        </w:rPr>
      </w:pPr>
    </w:p>
    <w:p w14:paraId="2A0FF6D7" w14:textId="77777777" w:rsidR="002A7B6A" w:rsidRPr="0069389A" w:rsidRDefault="002A7B6A" w:rsidP="002A7B6A">
      <w:pPr>
        <w:pStyle w:val="a5"/>
        <w:rPr>
          <w:b/>
          <w:szCs w:val="24"/>
        </w:rPr>
      </w:pPr>
    </w:p>
    <w:p w14:paraId="417D59EA" w14:textId="71344A50" w:rsidR="002A7B6A" w:rsidRPr="0069389A" w:rsidRDefault="0078794A" w:rsidP="002A7B6A">
      <w:pPr>
        <w:pStyle w:val="a5"/>
        <w:rPr>
          <w:b/>
          <w:szCs w:val="24"/>
        </w:rPr>
      </w:pPr>
      <w:r w:rsidRPr="0069389A">
        <w:rPr>
          <w:b/>
          <w:szCs w:val="24"/>
        </w:rPr>
        <w:t>Более подробную информацию об условиях Программы можно п</w:t>
      </w:r>
      <w:r w:rsidR="0030221E" w:rsidRPr="0069389A">
        <w:rPr>
          <w:b/>
          <w:szCs w:val="24"/>
        </w:rPr>
        <w:t xml:space="preserve">олучить по телефонам: +7(382-2) </w:t>
      </w:r>
      <w:r w:rsidR="0069389A" w:rsidRPr="0069389A">
        <w:rPr>
          <w:b/>
          <w:szCs w:val="24"/>
        </w:rPr>
        <w:t xml:space="preserve">98-40-20; </w:t>
      </w:r>
      <w:r w:rsidR="0030221E" w:rsidRPr="0069389A">
        <w:rPr>
          <w:b/>
          <w:szCs w:val="24"/>
        </w:rPr>
        <w:t>98-40-41</w:t>
      </w:r>
      <w:r w:rsidR="00231015" w:rsidRPr="0069389A">
        <w:rPr>
          <w:b/>
          <w:szCs w:val="24"/>
        </w:rPr>
        <w:t>.</w:t>
      </w:r>
      <w:r w:rsidR="0030221E" w:rsidRPr="0069389A">
        <w:rPr>
          <w:b/>
          <w:szCs w:val="24"/>
        </w:rPr>
        <w:t xml:space="preserve"> </w:t>
      </w:r>
    </w:p>
    <w:p w14:paraId="5D53AD5E" w14:textId="77777777" w:rsidR="00694685" w:rsidRPr="0069389A" w:rsidRDefault="00694685" w:rsidP="00694685">
      <w:r w:rsidRPr="0069389A">
        <w:rPr>
          <w:b/>
          <w:lang w:val="en-US"/>
        </w:rPr>
        <w:t>e</w:t>
      </w:r>
      <w:r w:rsidRPr="0069389A">
        <w:rPr>
          <w:b/>
        </w:rPr>
        <w:t>-</w:t>
      </w:r>
      <w:r w:rsidRPr="0069389A">
        <w:rPr>
          <w:b/>
          <w:lang w:val="en-US"/>
        </w:rPr>
        <w:t>mail</w:t>
      </w:r>
      <w:r w:rsidRPr="0069389A">
        <w:rPr>
          <w:b/>
        </w:rPr>
        <w:t xml:space="preserve">: </w:t>
      </w:r>
      <w:hyperlink r:id="rId6" w:history="1">
        <w:r w:rsidRPr="0069389A">
          <w:rPr>
            <w:rStyle w:val="aa"/>
            <w:lang w:val="en-US"/>
          </w:rPr>
          <w:t>Fondpromtomsk</w:t>
        </w:r>
        <w:r w:rsidRPr="0069389A">
          <w:rPr>
            <w:rStyle w:val="aa"/>
          </w:rPr>
          <w:t>@</w:t>
        </w:r>
        <w:r w:rsidRPr="0069389A">
          <w:rPr>
            <w:rStyle w:val="aa"/>
            <w:lang w:val="en-US"/>
          </w:rPr>
          <w:t>yandex</w:t>
        </w:r>
        <w:r w:rsidRPr="0069389A">
          <w:rPr>
            <w:rStyle w:val="aa"/>
          </w:rPr>
          <w:t>.</w:t>
        </w:r>
        <w:r w:rsidRPr="0069389A">
          <w:rPr>
            <w:rStyle w:val="aa"/>
            <w:lang w:val="en-US"/>
          </w:rPr>
          <w:t>ru</w:t>
        </w:r>
      </w:hyperlink>
    </w:p>
    <w:p w14:paraId="1B2EC783" w14:textId="77777777" w:rsidR="0078794A" w:rsidRPr="0069389A" w:rsidRDefault="0078794A" w:rsidP="002A7B6A">
      <w:pPr>
        <w:pStyle w:val="a5"/>
        <w:rPr>
          <w:b/>
          <w:szCs w:val="24"/>
        </w:rPr>
      </w:pPr>
    </w:p>
    <w:p w14:paraId="7FA794FD" w14:textId="257F2A27" w:rsidR="0078794A" w:rsidRPr="0069389A" w:rsidRDefault="0078794A" w:rsidP="002A7B6A">
      <w:pPr>
        <w:pStyle w:val="a5"/>
        <w:rPr>
          <w:b/>
          <w:szCs w:val="24"/>
        </w:rPr>
      </w:pPr>
      <w:r w:rsidRPr="0069389A">
        <w:rPr>
          <w:b/>
          <w:szCs w:val="24"/>
        </w:rPr>
        <w:t xml:space="preserve">Подать заявку на получение возмещения можно по адресу: 634021, г. Томск, ул. Енисейская, д.37, оф. </w:t>
      </w:r>
      <w:r w:rsidR="00231015" w:rsidRPr="0069389A">
        <w:rPr>
          <w:b/>
          <w:szCs w:val="24"/>
        </w:rPr>
        <w:t xml:space="preserve">304, </w:t>
      </w:r>
      <w:r w:rsidRPr="0069389A">
        <w:rPr>
          <w:b/>
          <w:szCs w:val="24"/>
        </w:rPr>
        <w:t>306</w:t>
      </w:r>
      <w:r w:rsidR="00231015" w:rsidRPr="0069389A">
        <w:rPr>
          <w:b/>
          <w:szCs w:val="24"/>
        </w:rPr>
        <w:t>.</w:t>
      </w:r>
    </w:p>
    <w:p w14:paraId="60F940E6" w14:textId="6D0802B1" w:rsidR="0078794A" w:rsidRPr="0069389A" w:rsidRDefault="0078794A" w:rsidP="002A7B6A">
      <w:pPr>
        <w:pStyle w:val="a5"/>
        <w:rPr>
          <w:b/>
          <w:szCs w:val="24"/>
        </w:rPr>
      </w:pPr>
    </w:p>
    <w:p w14:paraId="574429E4" w14:textId="77777777" w:rsidR="00694685" w:rsidRPr="0069389A" w:rsidRDefault="00694685" w:rsidP="002A7B6A">
      <w:pPr>
        <w:pStyle w:val="a5"/>
        <w:rPr>
          <w:b/>
          <w:szCs w:val="24"/>
        </w:rPr>
      </w:pPr>
    </w:p>
    <w:p w14:paraId="6CA8BB0A" w14:textId="7CBA1C41" w:rsidR="0078794A" w:rsidRPr="0069389A" w:rsidRDefault="0078794A" w:rsidP="002A7B6A">
      <w:pPr>
        <w:pStyle w:val="a5"/>
        <w:rPr>
          <w:b/>
          <w:szCs w:val="24"/>
        </w:rPr>
      </w:pPr>
      <w:r w:rsidRPr="0069389A">
        <w:rPr>
          <w:b/>
          <w:szCs w:val="24"/>
        </w:rPr>
        <w:t>Время работы: пн-чт: с 9-00 до 18-00, обед с 12-30 до 13-30;</w:t>
      </w:r>
    </w:p>
    <w:p w14:paraId="2C9B5FEF" w14:textId="0A405493" w:rsidR="0078794A" w:rsidRPr="0069389A" w:rsidRDefault="0078794A" w:rsidP="002A7B6A">
      <w:pPr>
        <w:pStyle w:val="a5"/>
        <w:rPr>
          <w:b/>
          <w:szCs w:val="24"/>
        </w:rPr>
      </w:pPr>
      <w:r w:rsidRPr="0069389A">
        <w:rPr>
          <w:b/>
          <w:szCs w:val="24"/>
        </w:rPr>
        <w:t xml:space="preserve">                                  пт: с 9-00 до 16-45, обед с 12-30 до 13-30.</w:t>
      </w:r>
    </w:p>
    <w:p w14:paraId="4468F7A1" w14:textId="77777777" w:rsidR="002A7B6A" w:rsidRPr="0069389A" w:rsidRDefault="002A7B6A" w:rsidP="00F14C21">
      <w:pPr>
        <w:pStyle w:val="2"/>
        <w:tabs>
          <w:tab w:val="left" w:pos="4500"/>
          <w:tab w:val="left" w:pos="6660"/>
        </w:tabs>
        <w:spacing w:line="360" w:lineRule="auto"/>
        <w:ind w:left="0"/>
        <w:rPr>
          <w:szCs w:val="24"/>
        </w:rPr>
      </w:pPr>
    </w:p>
    <w:sectPr w:rsidR="002A7B6A" w:rsidRPr="0069389A" w:rsidSect="00B11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A12"/>
    <w:multiLevelType w:val="multilevel"/>
    <w:tmpl w:val="787248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9C60978"/>
    <w:multiLevelType w:val="hybridMultilevel"/>
    <w:tmpl w:val="FFDADDAA"/>
    <w:lvl w:ilvl="0" w:tplc="4C025B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22590A"/>
    <w:multiLevelType w:val="hybridMultilevel"/>
    <w:tmpl w:val="40EC1324"/>
    <w:lvl w:ilvl="0" w:tplc="DC94BD7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9674A05"/>
    <w:multiLevelType w:val="hybridMultilevel"/>
    <w:tmpl w:val="AC74930E"/>
    <w:lvl w:ilvl="0" w:tplc="C4AC7784">
      <w:start w:val="1"/>
      <w:numFmt w:val="decimal"/>
      <w:lvlText w:val="%1."/>
      <w:lvlJc w:val="left"/>
      <w:pPr>
        <w:ind w:left="19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607256F"/>
    <w:multiLevelType w:val="hybridMultilevel"/>
    <w:tmpl w:val="05BA1EE8"/>
    <w:lvl w:ilvl="0" w:tplc="146E0C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A6471F0"/>
    <w:multiLevelType w:val="hybridMultilevel"/>
    <w:tmpl w:val="A59AB684"/>
    <w:lvl w:ilvl="0" w:tplc="C4AC778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31B58BE"/>
    <w:multiLevelType w:val="hybridMultilevel"/>
    <w:tmpl w:val="CF86E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75A49"/>
    <w:multiLevelType w:val="hybridMultilevel"/>
    <w:tmpl w:val="17AEB2D0"/>
    <w:lvl w:ilvl="0" w:tplc="E0D4C0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5A51E7"/>
    <w:multiLevelType w:val="hybridMultilevel"/>
    <w:tmpl w:val="F746EE76"/>
    <w:lvl w:ilvl="0" w:tplc="CB94986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6006973">
    <w:abstractNumId w:val="0"/>
  </w:num>
  <w:num w:numId="2" w16cid:durableId="251353703">
    <w:abstractNumId w:val="1"/>
  </w:num>
  <w:num w:numId="3" w16cid:durableId="870921263">
    <w:abstractNumId w:val="5"/>
  </w:num>
  <w:num w:numId="4" w16cid:durableId="719593837">
    <w:abstractNumId w:val="8"/>
  </w:num>
  <w:num w:numId="5" w16cid:durableId="1750420401">
    <w:abstractNumId w:val="3"/>
  </w:num>
  <w:num w:numId="6" w16cid:durableId="1659335232">
    <w:abstractNumId w:val="2"/>
  </w:num>
  <w:num w:numId="7" w16cid:durableId="711076265">
    <w:abstractNumId w:val="6"/>
  </w:num>
  <w:num w:numId="8" w16cid:durableId="853687261">
    <w:abstractNumId w:val="4"/>
  </w:num>
  <w:num w:numId="9" w16cid:durableId="3878028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C2B"/>
    <w:rsid w:val="00021543"/>
    <w:rsid w:val="000255ED"/>
    <w:rsid w:val="0004401D"/>
    <w:rsid w:val="00044154"/>
    <w:rsid w:val="00056B99"/>
    <w:rsid w:val="00077D25"/>
    <w:rsid w:val="00080370"/>
    <w:rsid w:val="00083791"/>
    <w:rsid w:val="0009146F"/>
    <w:rsid w:val="000D2389"/>
    <w:rsid w:val="000E6BF2"/>
    <w:rsid w:val="001122A8"/>
    <w:rsid w:val="00134EC6"/>
    <w:rsid w:val="00143B38"/>
    <w:rsid w:val="00153720"/>
    <w:rsid w:val="00161ED2"/>
    <w:rsid w:val="001A4B05"/>
    <w:rsid w:val="001C3B26"/>
    <w:rsid w:val="001C45B6"/>
    <w:rsid w:val="001D047B"/>
    <w:rsid w:val="001D4CE6"/>
    <w:rsid w:val="001F0B53"/>
    <w:rsid w:val="00202AD2"/>
    <w:rsid w:val="00231015"/>
    <w:rsid w:val="00260603"/>
    <w:rsid w:val="002667D1"/>
    <w:rsid w:val="0028469A"/>
    <w:rsid w:val="002A7B6A"/>
    <w:rsid w:val="002F7315"/>
    <w:rsid w:val="002F7590"/>
    <w:rsid w:val="0030221E"/>
    <w:rsid w:val="0033359E"/>
    <w:rsid w:val="003B00C6"/>
    <w:rsid w:val="003D0ACD"/>
    <w:rsid w:val="003F4912"/>
    <w:rsid w:val="0042125D"/>
    <w:rsid w:val="00425C1C"/>
    <w:rsid w:val="00426E87"/>
    <w:rsid w:val="004449A3"/>
    <w:rsid w:val="00447919"/>
    <w:rsid w:val="0046221E"/>
    <w:rsid w:val="004720AC"/>
    <w:rsid w:val="004A1B2C"/>
    <w:rsid w:val="004D77AF"/>
    <w:rsid w:val="004E70F7"/>
    <w:rsid w:val="0050149D"/>
    <w:rsid w:val="00534424"/>
    <w:rsid w:val="00543D81"/>
    <w:rsid w:val="005722B1"/>
    <w:rsid w:val="0058729F"/>
    <w:rsid w:val="005B37EF"/>
    <w:rsid w:val="005D060E"/>
    <w:rsid w:val="005D1A55"/>
    <w:rsid w:val="005E3E39"/>
    <w:rsid w:val="00603260"/>
    <w:rsid w:val="00617519"/>
    <w:rsid w:val="00620532"/>
    <w:rsid w:val="00622246"/>
    <w:rsid w:val="00646C67"/>
    <w:rsid w:val="00651ABB"/>
    <w:rsid w:val="006624E5"/>
    <w:rsid w:val="00680501"/>
    <w:rsid w:val="0069389A"/>
    <w:rsid w:val="00694685"/>
    <w:rsid w:val="006F691E"/>
    <w:rsid w:val="007111A9"/>
    <w:rsid w:val="00723BA4"/>
    <w:rsid w:val="00745241"/>
    <w:rsid w:val="007736A4"/>
    <w:rsid w:val="00776B88"/>
    <w:rsid w:val="00783A8D"/>
    <w:rsid w:val="00785B8B"/>
    <w:rsid w:val="0078794A"/>
    <w:rsid w:val="007B5966"/>
    <w:rsid w:val="007B5E82"/>
    <w:rsid w:val="007D28D1"/>
    <w:rsid w:val="007F39A2"/>
    <w:rsid w:val="00810FFE"/>
    <w:rsid w:val="008172AF"/>
    <w:rsid w:val="00832184"/>
    <w:rsid w:val="008A4B64"/>
    <w:rsid w:val="008F6F43"/>
    <w:rsid w:val="00975B0A"/>
    <w:rsid w:val="009770E0"/>
    <w:rsid w:val="009D2F06"/>
    <w:rsid w:val="009E5062"/>
    <w:rsid w:val="00A35B46"/>
    <w:rsid w:val="00A3719A"/>
    <w:rsid w:val="00A41867"/>
    <w:rsid w:val="00A566E4"/>
    <w:rsid w:val="00A76735"/>
    <w:rsid w:val="00A84E53"/>
    <w:rsid w:val="00A9246B"/>
    <w:rsid w:val="00AA54EB"/>
    <w:rsid w:val="00AB4A31"/>
    <w:rsid w:val="00AC6931"/>
    <w:rsid w:val="00AE7C31"/>
    <w:rsid w:val="00B11B8B"/>
    <w:rsid w:val="00B21B38"/>
    <w:rsid w:val="00B458F2"/>
    <w:rsid w:val="00B65FFF"/>
    <w:rsid w:val="00B82608"/>
    <w:rsid w:val="00BA1B6E"/>
    <w:rsid w:val="00BD0964"/>
    <w:rsid w:val="00C16634"/>
    <w:rsid w:val="00C26008"/>
    <w:rsid w:val="00C772C6"/>
    <w:rsid w:val="00CA16CD"/>
    <w:rsid w:val="00CF3EC8"/>
    <w:rsid w:val="00D24694"/>
    <w:rsid w:val="00D2761A"/>
    <w:rsid w:val="00D33EC9"/>
    <w:rsid w:val="00D7318E"/>
    <w:rsid w:val="00DD5B36"/>
    <w:rsid w:val="00DE3CA7"/>
    <w:rsid w:val="00DE4D84"/>
    <w:rsid w:val="00E14C2E"/>
    <w:rsid w:val="00E40DD2"/>
    <w:rsid w:val="00E431A4"/>
    <w:rsid w:val="00E52EE3"/>
    <w:rsid w:val="00E74329"/>
    <w:rsid w:val="00E7773B"/>
    <w:rsid w:val="00EA5965"/>
    <w:rsid w:val="00EE1FC9"/>
    <w:rsid w:val="00F14C21"/>
    <w:rsid w:val="00F161F4"/>
    <w:rsid w:val="00F337C5"/>
    <w:rsid w:val="00F40C48"/>
    <w:rsid w:val="00F41C2B"/>
    <w:rsid w:val="00F8036D"/>
    <w:rsid w:val="00F978D5"/>
    <w:rsid w:val="00FD4C8A"/>
    <w:rsid w:val="00FE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128AB"/>
  <w15:docId w15:val="{198B5330-0997-4A8A-8186-9D6DD19D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41C2B"/>
    <w:pPr>
      <w:suppressAutoHyphens/>
      <w:spacing w:after="140" w:line="288" w:lineRule="auto"/>
    </w:pPr>
    <w:rPr>
      <w:rFonts w:eastAsia="Calibri"/>
      <w:kern w:val="1"/>
    </w:rPr>
  </w:style>
  <w:style w:type="character" w:customStyle="1" w:styleId="a4">
    <w:name w:val="Основной текст Знак"/>
    <w:basedOn w:val="a0"/>
    <w:link w:val="a3"/>
    <w:rsid w:val="00F41C2B"/>
    <w:rPr>
      <w:rFonts w:ascii="Times New Roman" w:eastAsia="Calibri" w:hAnsi="Times New Roman" w:cs="Times New Roman"/>
      <w:kern w:val="1"/>
      <w:sz w:val="24"/>
      <w:szCs w:val="24"/>
      <w:lang w:eastAsia="ru-RU"/>
    </w:rPr>
  </w:style>
  <w:style w:type="paragraph" w:customStyle="1" w:styleId="2">
    <w:name w:val="Стиль2"/>
    <w:basedOn w:val="a"/>
    <w:rsid w:val="00F41C2B"/>
    <w:pPr>
      <w:ind w:left="708"/>
    </w:pPr>
    <w:rPr>
      <w:szCs w:val="22"/>
      <w:lang w:eastAsia="en-US"/>
    </w:rPr>
  </w:style>
  <w:style w:type="paragraph" w:styleId="a5">
    <w:name w:val="No Spacing"/>
    <w:uiPriority w:val="1"/>
    <w:qFormat/>
    <w:rsid w:val="00F41C2B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a6">
    <w:name w:val="Знак Знак Знак Знак Знак Знак Знак Знак Знак Знак Знак"/>
    <w:basedOn w:val="a"/>
    <w:rsid w:val="001D4CE6"/>
    <w:pPr>
      <w:spacing w:after="160" w:line="240" w:lineRule="exact"/>
    </w:pPr>
    <w:rPr>
      <w:rFonts w:ascii="Verdana" w:eastAsia="Batang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rsid w:val="001D4C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7432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F491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4912"/>
    <w:rPr>
      <w:rFonts w:ascii="Segoe UI" w:eastAsia="Times New Roman" w:hAnsi="Segoe UI" w:cs="Segoe UI"/>
      <w:sz w:val="18"/>
      <w:szCs w:val="18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5D1A5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D1A5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69468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1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ondpromtoms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98616-A59E-472B-8E60-FE9074C59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9</cp:revision>
  <cp:lastPrinted>2022-04-19T04:47:00Z</cp:lastPrinted>
  <dcterms:created xsi:type="dcterms:W3CDTF">2022-06-10T05:02:00Z</dcterms:created>
  <dcterms:modified xsi:type="dcterms:W3CDTF">2022-11-01T07:34:00Z</dcterms:modified>
</cp:coreProperties>
</file>